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F921A">
      <w:pPr>
        <w:spacing w:before="107" w:line="224" w:lineRule="auto"/>
        <w:rPr>
          <w:rFonts w:hint="eastAsia" w:ascii="黑体" w:hAnsi="黑体" w:eastAsia="黑体" w:cs="黑体"/>
          <w:b w:val="0"/>
          <w:bCs w:val="0"/>
          <w:spacing w:val="1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11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11"/>
          <w:sz w:val="32"/>
          <w:szCs w:val="32"/>
          <w:lang w:val="en-US" w:eastAsia="zh-CN"/>
        </w:rPr>
        <w:t>1</w:t>
      </w:r>
    </w:p>
    <w:p w14:paraId="259446D1">
      <w:pPr>
        <w:spacing w:before="107" w:line="224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2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4"/>
          <w:sz w:val="44"/>
          <w:szCs w:val="44"/>
        </w:rPr>
        <w:t>“读懂中国”活动作品评审参考标准</w:t>
      </w:r>
    </w:p>
    <w:p w14:paraId="22B0A7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9"/>
          <w:sz w:val="32"/>
          <w:szCs w:val="32"/>
        </w:rPr>
        <w:t>一、征文评审标准(总分100分)</w:t>
      </w:r>
    </w:p>
    <w:tbl>
      <w:tblPr>
        <w:tblStyle w:val="7"/>
        <w:tblW w:w="95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6376"/>
      </w:tblGrid>
      <w:tr w14:paraId="490E6E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2" w:hRule="atLeast"/>
          <w:jc w:val="center"/>
        </w:trPr>
        <w:tc>
          <w:tcPr>
            <w:tcW w:w="3201" w:type="dxa"/>
            <w:vAlign w:val="center"/>
          </w:tcPr>
          <w:p w14:paraId="64BF3B2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sz w:val="32"/>
                <w:szCs w:val="32"/>
              </w:rPr>
              <w:t>紧扣主题、立意明确</w:t>
            </w:r>
          </w:p>
          <w:p w14:paraId="688EEA5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8"/>
                <w:sz w:val="32"/>
                <w:szCs w:val="32"/>
              </w:rPr>
              <w:t>(30分)</w:t>
            </w:r>
          </w:p>
        </w:tc>
        <w:tc>
          <w:tcPr>
            <w:tcW w:w="6376" w:type="dxa"/>
            <w:vAlign w:val="center"/>
          </w:tcPr>
          <w:p w14:paraId="14D3DF3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0"/>
                <w:sz w:val="32"/>
                <w:szCs w:val="32"/>
              </w:rPr>
              <w:t>记录、展示“五老”在新中国成立初期百废待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8"/>
                <w:sz w:val="32"/>
                <w:szCs w:val="32"/>
              </w:rPr>
              <w:t>兴时扎根岗位、攻坚克难，改革开放浪潮中勇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立潮头、奋勇争先，强国建设进程中实干笃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0"/>
                <w:sz w:val="32"/>
                <w:szCs w:val="32"/>
              </w:rPr>
              <w:t>行、薪火相传的感人事迹和人生体验，以及对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伟大长征精神的深刻感悟，对青年学生勇担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0"/>
                <w:sz w:val="32"/>
                <w:szCs w:val="32"/>
              </w:rPr>
              <w:t>时代使命、投身强国建设的殷切嘱托。若偏题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"/>
                <w:sz w:val="32"/>
                <w:szCs w:val="32"/>
              </w:rPr>
              <w:t>酌情扣分。</w:t>
            </w:r>
          </w:p>
        </w:tc>
      </w:tr>
      <w:tr w14:paraId="5C3516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8" w:hRule="atLeast"/>
          <w:jc w:val="center"/>
        </w:trPr>
        <w:tc>
          <w:tcPr>
            <w:tcW w:w="3201" w:type="dxa"/>
            <w:vAlign w:val="center"/>
          </w:tcPr>
          <w:p w14:paraId="062767D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3"/>
                <w:sz w:val="32"/>
                <w:szCs w:val="32"/>
              </w:rPr>
              <w:t>内容详实、表述得当</w:t>
            </w:r>
          </w:p>
          <w:p w14:paraId="1ABFE12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4"/>
                <w:sz w:val="32"/>
                <w:szCs w:val="32"/>
              </w:rPr>
              <w:t>(20分)</w:t>
            </w:r>
          </w:p>
        </w:tc>
        <w:tc>
          <w:tcPr>
            <w:tcW w:w="6376" w:type="dxa"/>
            <w:vAlign w:val="center"/>
          </w:tcPr>
          <w:p w14:paraId="1EE39CC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145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"/>
                <w:sz w:val="32"/>
                <w:szCs w:val="32"/>
              </w:rPr>
              <w:t>突出“五老”人物事迹，强调故事性和细节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7"/>
                <w:sz w:val="32"/>
                <w:szCs w:val="32"/>
              </w:rPr>
              <w:t>描述，以“五老”的个体经历反映出中国特色社会主义事业取得的伟大成就，切忌写成“五老”个人简历。根据文章实际情况酌情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4"/>
                <w:sz w:val="32"/>
                <w:szCs w:val="32"/>
              </w:rPr>
              <w:t>赋分。</w:t>
            </w:r>
          </w:p>
        </w:tc>
      </w:tr>
      <w:tr w14:paraId="386B1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jc w:val="center"/>
        </w:trPr>
        <w:tc>
          <w:tcPr>
            <w:tcW w:w="3201" w:type="dxa"/>
            <w:vAlign w:val="center"/>
          </w:tcPr>
          <w:p w14:paraId="12220EE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"/>
                <w:sz w:val="32"/>
                <w:szCs w:val="32"/>
              </w:rPr>
              <w:t>语言优美、文笔流畅</w:t>
            </w:r>
          </w:p>
          <w:p w14:paraId="1F5C059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4"/>
                <w:sz w:val="32"/>
                <w:szCs w:val="32"/>
              </w:rPr>
              <w:t>(20分)</w:t>
            </w:r>
          </w:p>
        </w:tc>
        <w:tc>
          <w:tcPr>
            <w:tcW w:w="6376" w:type="dxa"/>
            <w:vAlign w:val="center"/>
          </w:tcPr>
          <w:p w14:paraId="51EA418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"/>
                <w:sz w:val="32"/>
                <w:szCs w:val="32"/>
              </w:rPr>
              <w:t>根据文章实际情况酌情赋分。</w:t>
            </w:r>
          </w:p>
        </w:tc>
      </w:tr>
      <w:tr w14:paraId="789D35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  <w:jc w:val="center"/>
        </w:trPr>
        <w:tc>
          <w:tcPr>
            <w:tcW w:w="3201" w:type="dxa"/>
            <w:vAlign w:val="center"/>
          </w:tcPr>
          <w:p w14:paraId="25130AB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"/>
                <w:sz w:val="32"/>
                <w:szCs w:val="32"/>
              </w:rPr>
              <w:t>情感真实、表达细腻</w:t>
            </w:r>
          </w:p>
          <w:p w14:paraId="244247C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4"/>
                <w:sz w:val="32"/>
                <w:szCs w:val="32"/>
              </w:rPr>
              <w:t>(20分)</w:t>
            </w:r>
          </w:p>
        </w:tc>
        <w:tc>
          <w:tcPr>
            <w:tcW w:w="6376" w:type="dxa"/>
            <w:vAlign w:val="center"/>
          </w:tcPr>
          <w:p w14:paraId="489C278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"/>
                <w:sz w:val="32"/>
                <w:szCs w:val="32"/>
              </w:rPr>
              <w:t>根据文章实际情况酌情赋分。</w:t>
            </w:r>
          </w:p>
        </w:tc>
      </w:tr>
      <w:tr w14:paraId="590162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2" w:hRule="atLeast"/>
          <w:jc w:val="center"/>
        </w:trPr>
        <w:tc>
          <w:tcPr>
            <w:tcW w:w="3201" w:type="dxa"/>
            <w:vAlign w:val="center"/>
          </w:tcPr>
          <w:p w14:paraId="0A3CCD7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sz w:val="32"/>
                <w:szCs w:val="32"/>
              </w:rPr>
              <w:t>文体合规、用字规范</w:t>
            </w:r>
          </w:p>
          <w:p w14:paraId="637AAAC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4"/>
                <w:sz w:val="32"/>
                <w:szCs w:val="32"/>
              </w:rPr>
              <w:t>(10分)</w:t>
            </w:r>
          </w:p>
        </w:tc>
        <w:tc>
          <w:tcPr>
            <w:tcW w:w="6376" w:type="dxa"/>
            <w:vAlign w:val="center"/>
          </w:tcPr>
          <w:p w14:paraId="070A895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145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文体为记叙文，字数不超过2000字。文体有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32"/>
                <w:szCs w:val="32"/>
              </w:rPr>
              <w:t>误或字数超过2400字即此项为0分，字数在2001-2400字之间或出现不规范用字的酌情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扣分。</w:t>
            </w:r>
          </w:p>
        </w:tc>
      </w:tr>
    </w:tbl>
    <w:p w14:paraId="39A72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sectPr>
          <w:footerReference r:id="rId3" w:type="default"/>
          <w:pgSz w:w="11900" w:h="16840"/>
          <w:pgMar w:top="2098" w:right="1474" w:bottom="1984" w:left="1587" w:header="0" w:footer="1415" w:gutter="0"/>
          <w:pgNumType w:fmt="decimal"/>
          <w:cols w:space="720" w:num="1"/>
        </w:sectPr>
      </w:pPr>
    </w:p>
    <w:p w14:paraId="26D0C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</w:rPr>
        <w:t>二、微视频评审标准(总分100分)</w:t>
      </w:r>
    </w:p>
    <w:tbl>
      <w:tblPr>
        <w:tblStyle w:val="7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6"/>
        <w:gridCol w:w="7543"/>
      </w:tblGrid>
      <w:tr w14:paraId="0AA2BF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1" w:hRule="atLeast"/>
        </w:trPr>
        <w:tc>
          <w:tcPr>
            <w:tcW w:w="2016" w:type="dxa"/>
            <w:vAlign w:val="center"/>
          </w:tcPr>
          <w:p w14:paraId="57795CA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32"/>
                <w:szCs w:val="32"/>
              </w:rPr>
              <w:t>主题表达</w:t>
            </w:r>
          </w:p>
          <w:p w14:paraId="4613331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8"/>
                <w:sz w:val="32"/>
                <w:szCs w:val="32"/>
              </w:rPr>
              <w:t>(30分)</w:t>
            </w:r>
          </w:p>
        </w:tc>
        <w:tc>
          <w:tcPr>
            <w:tcW w:w="7543" w:type="dxa"/>
            <w:vAlign w:val="center"/>
          </w:tcPr>
          <w:p w14:paraId="5076DB0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9"/>
                <w:sz w:val="32"/>
                <w:szCs w:val="32"/>
              </w:rPr>
              <w:t>记录、展示“五老”在新中国成立初期百废待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sz w:val="32"/>
                <w:szCs w:val="32"/>
              </w:rPr>
              <w:t>兴时扎根岗位、攻坚克难，改革开放浪潮中勇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5"/>
                <w:sz w:val="32"/>
                <w:szCs w:val="32"/>
              </w:rPr>
              <w:t>立潮头、奋勇争先，强国建设进程中实干笃行、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8"/>
                <w:sz w:val="32"/>
                <w:szCs w:val="32"/>
              </w:rPr>
              <w:t>薪火相传的感人事迹和人生体验，以及对伟大长征精神的深刻感悟，对青年学生勇担时代使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32"/>
                <w:szCs w:val="32"/>
              </w:rPr>
              <w:t>命、投身强国建设的殷切嘱托。突出“五老”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5"/>
                <w:sz w:val="32"/>
                <w:szCs w:val="32"/>
              </w:rPr>
              <w:t>人物事迹，强调故事性和细节描述，以“五老”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8"/>
                <w:sz w:val="32"/>
                <w:szCs w:val="32"/>
              </w:rPr>
              <w:t>的个体经历反映出中国特色社会主义事业取得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4"/>
                <w:sz w:val="32"/>
                <w:szCs w:val="32"/>
              </w:rPr>
              <w:t>的伟大成就。切忌拍摄成“五老”个人简历。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32"/>
                <w:szCs w:val="32"/>
              </w:rPr>
              <w:t>根据片子实际情况酌情赋分。</w:t>
            </w:r>
          </w:p>
        </w:tc>
      </w:tr>
      <w:tr w14:paraId="66929F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016" w:type="dxa"/>
            <w:vAlign w:val="center"/>
          </w:tcPr>
          <w:p w14:paraId="7AC20CD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sz w:val="32"/>
                <w:szCs w:val="32"/>
              </w:rPr>
              <w:t>结构设置</w:t>
            </w:r>
          </w:p>
          <w:p w14:paraId="35820D3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4"/>
                <w:sz w:val="32"/>
                <w:szCs w:val="32"/>
              </w:rPr>
              <w:t>(20分)</w:t>
            </w:r>
          </w:p>
        </w:tc>
        <w:tc>
          <w:tcPr>
            <w:tcW w:w="7543" w:type="dxa"/>
            <w:vAlign w:val="center"/>
          </w:tcPr>
          <w:p w14:paraId="34A7AC5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14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结构明确、逻辑清晰，悬念设置巧妙且自然，能够突出主题、吸引观众。根据片子实际情况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9"/>
                <w:sz w:val="32"/>
                <w:szCs w:val="32"/>
              </w:rPr>
              <w:t>酌情赋分。</w:t>
            </w:r>
          </w:p>
        </w:tc>
      </w:tr>
      <w:tr w14:paraId="15F477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8" w:hRule="atLeast"/>
        </w:trPr>
        <w:tc>
          <w:tcPr>
            <w:tcW w:w="2016" w:type="dxa"/>
            <w:vAlign w:val="center"/>
          </w:tcPr>
          <w:p w14:paraId="1D95656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sz w:val="32"/>
                <w:szCs w:val="32"/>
              </w:rPr>
              <w:t>细节和节奏</w:t>
            </w:r>
          </w:p>
          <w:p w14:paraId="3701D3D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4"/>
                <w:sz w:val="32"/>
                <w:szCs w:val="32"/>
              </w:rPr>
              <w:t>(20分)</w:t>
            </w:r>
          </w:p>
        </w:tc>
        <w:tc>
          <w:tcPr>
            <w:tcW w:w="7543" w:type="dxa"/>
            <w:vAlign w:val="center"/>
          </w:tcPr>
          <w:p w14:paraId="1FEA677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14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把握好叙事节奏和剪辑节奏的和谐统一，达到疏密相间、张弛有度、跌宕起伏。细节运用真实生动，有较强的艺术感染力；画面构图、特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3"/>
                <w:sz w:val="32"/>
                <w:szCs w:val="32"/>
              </w:rPr>
              <w:t>效、字幕、片头片尾、转场等包装处理得当。根据片子实际情况酌情赋分。</w:t>
            </w:r>
          </w:p>
        </w:tc>
      </w:tr>
      <w:tr w14:paraId="7E3E30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1" w:hRule="atLeast"/>
        </w:trPr>
        <w:tc>
          <w:tcPr>
            <w:tcW w:w="2016" w:type="dxa"/>
            <w:vAlign w:val="center"/>
          </w:tcPr>
          <w:p w14:paraId="069031B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sz w:val="32"/>
                <w:szCs w:val="32"/>
              </w:rPr>
              <w:t>电视语言表达</w:t>
            </w:r>
          </w:p>
          <w:p w14:paraId="71ACDEE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4"/>
                <w:sz w:val="32"/>
                <w:szCs w:val="32"/>
              </w:rPr>
              <w:t>(20分)</w:t>
            </w:r>
          </w:p>
        </w:tc>
        <w:tc>
          <w:tcPr>
            <w:tcW w:w="7543" w:type="dxa"/>
            <w:vAlign w:val="center"/>
          </w:tcPr>
          <w:p w14:paraId="7596A4B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3"/>
                <w:sz w:val="32"/>
                <w:szCs w:val="32"/>
              </w:rPr>
              <w:t>画面语言生动且富有特色，能够吸引观众眼球、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32"/>
                <w:szCs w:val="32"/>
              </w:rPr>
              <w:t>表达出拍摄主体的内在情绪、心理及表现行为等；解说词为画面服务，且起到补充和升华主题的作用；现场采访出现时间合适、突出故事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32"/>
                <w:szCs w:val="32"/>
              </w:rPr>
              <w:t>细节、思想表达传递，且有对主题阐释等作用，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32"/>
                <w:szCs w:val="32"/>
              </w:rPr>
              <w:t>能够很好地渲染影片；字幕语言能够调动观众兴趣，令人印象深刻。根据片子实际情况酌情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4"/>
                <w:sz w:val="32"/>
                <w:szCs w:val="32"/>
              </w:rPr>
              <w:t>赋分，电视语言单一，无法讲清事件，无法使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"/>
                <w:sz w:val="32"/>
                <w:szCs w:val="32"/>
              </w:rPr>
              <w:t>观众明白要表达的内容和思想感情的酌情扣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分。</w:t>
            </w:r>
          </w:p>
        </w:tc>
      </w:tr>
    </w:tbl>
    <w:p w14:paraId="1BAFD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sectPr>
          <w:footerReference r:id="rId4" w:type="default"/>
          <w:pgSz w:w="11900" w:h="16840"/>
          <w:pgMar w:top="2098" w:right="1474" w:bottom="1984" w:left="1587" w:header="0" w:footer="1416" w:gutter="0"/>
          <w:pgNumType w:fmt="decimal"/>
          <w:cols w:space="720" w:num="1"/>
        </w:sectPr>
      </w:pPr>
    </w:p>
    <w:tbl>
      <w:tblPr>
        <w:tblStyle w:val="7"/>
        <w:tblW w:w="95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3"/>
        <w:gridCol w:w="7546"/>
      </w:tblGrid>
      <w:tr w14:paraId="3F7BE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9" w:hRule="atLeast"/>
          <w:jc w:val="center"/>
        </w:trPr>
        <w:tc>
          <w:tcPr>
            <w:tcW w:w="2003" w:type="dxa"/>
            <w:vAlign w:val="center"/>
          </w:tcPr>
          <w:p w14:paraId="6A9C9EE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32"/>
                <w:szCs w:val="32"/>
              </w:rPr>
              <w:t>剪辑和时长</w:t>
            </w:r>
          </w:p>
          <w:p w14:paraId="593DBA4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8"/>
                <w:sz w:val="32"/>
                <w:szCs w:val="32"/>
              </w:rPr>
              <w:t>(10分)</w:t>
            </w:r>
          </w:p>
        </w:tc>
        <w:tc>
          <w:tcPr>
            <w:tcW w:w="7546" w:type="dxa"/>
            <w:vAlign w:val="center"/>
          </w:tcPr>
          <w:p w14:paraId="2CEFEFB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8"/>
                <w:sz w:val="32"/>
                <w:szCs w:val="32"/>
              </w:rPr>
              <w:t>提前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sz w:val="32"/>
                <w:szCs w:val="32"/>
              </w:rPr>
              <w:t>设计好影片结构；镜头衔接自然流畅，起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5"/>
                <w:sz w:val="32"/>
                <w:szCs w:val="32"/>
              </w:rPr>
              <w:t>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32"/>
                <w:szCs w:val="32"/>
              </w:rPr>
              <w:t>转合符合整体结构设计和剪辑节奏，有自己的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5"/>
                <w:sz w:val="32"/>
                <w:szCs w:val="32"/>
              </w:rPr>
              <w:t>风格特色，思想表达独树一格。根据片子实际情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4"/>
                <w:sz w:val="32"/>
                <w:szCs w:val="32"/>
              </w:rPr>
              <w:t>况酌情赋分，如出现跳帧、黑屏等重大技术失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32"/>
                <w:szCs w:val="32"/>
              </w:rPr>
              <w:t>误，或时长超过6分钟、不足4分钟的，该项即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32"/>
                <w:szCs w:val="32"/>
              </w:rPr>
              <w:t>为0分。根据片子实际情况酌情赋分。</w:t>
            </w:r>
          </w:p>
        </w:tc>
      </w:tr>
    </w:tbl>
    <w:p w14:paraId="19CE5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7"/>
          <w:sz w:val="32"/>
          <w:szCs w:val="32"/>
        </w:rPr>
        <w:t>三、舞台剧评审标准(总分100分)</w:t>
      </w:r>
    </w:p>
    <w:tbl>
      <w:tblPr>
        <w:tblStyle w:val="7"/>
        <w:tblW w:w="960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6"/>
        <w:gridCol w:w="7571"/>
      </w:tblGrid>
      <w:tr w14:paraId="17E724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2" w:hRule="atLeast"/>
          <w:jc w:val="center"/>
        </w:trPr>
        <w:tc>
          <w:tcPr>
            <w:tcW w:w="2036" w:type="dxa"/>
            <w:vAlign w:val="center"/>
          </w:tcPr>
          <w:p w14:paraId="1EBCB32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32"/>
                <w:szCs w:val="32"/>
              </w:rPr>
              <w:t>主题表达</w:t>
            </w:r>
          </w:p>
          <w:p w14:paraId="4469E4B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8"/>
                <w:sz w:val="32"/>
                <w:szCs w:val="32"/>
              </w:rPr>
              <w:t>(30分)</w:t>
            </w:r>
          </w:p>
        </w:tc>
        <w:tc>
          <w:tcPr>
            <w:tcW w:w="7571" w:type="dxa"/>
            <w:vAlign w:val="center"/>
          </w:tcPr>
          <w:p w14:paraId="3E047DF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32"/>
                <w:szCs w:val="32"/>
              </w:rPr>
              <w:t>记录、展示“五老”在新中国成立初期百废待兴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32"/>
                <w:szCs w:val="32"/>
              </w:rPr>
              <w:t>时扎根岗位、攻坚克难，改革开放浪潮中勇立潮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4"/>
                <w:sz w:val="32"/>
                <w:szCs w:val="32"/>
              </w:rPr>
              <w:t>头、奋勇争先，强国建设进程中实干笃行、薪火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32"/>
                <w:szCs w:val="32"/>
              </w:rPr>
              <w:t>相传的感人事迹和人生体验，以及对伟大长征精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4"/>
                <w:sz w:val="32"/>
                <w:szCs w:val="32"/>
              </w:rPr>
              <w:t>神的深刻感悟，对青年学生勇担时代使命、投身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32"/>
                <w:szCs w:val="32"/>
              </w:rPr>
              <w:t>强国建设的殷切嘱托。主题鲜明，贴近生活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4"/>
                <w:sz w:val="32"/>
                <w:szCs w:val="32"/>
              </w:rPr>
              <w:t>，有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32"/>
                <w:szCs w:val="32"/>
              </w:rPr>
              <w:t>深度，引起观众共鸣。若偏题酌情扣分。</w:t>
            </w:r>
          </w:p>
        </w:tc>
      </w:tr>
      <w:tr w14:paraId="1239DD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  <w:jc w:val="center"/>
        </w:trPr>
        <w:tc>
          <w:tcPr>
            <w:tcW w:w="2036" w:type="dxa"/>
            <w:vAlign w:val="center"/>
          </w:tcPr>
          <w:p w14:paraId="073AF4D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sz w:val="32"/>
                <w:szCs w:val="32"/>
              </w:rPr>
              <w:t>内容设置</w:t>
            </w:r>
          </w:p>
          <w:p w14:paraId="2366900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4"/>
                <w:sz w:val="32"/>
                <w:szCs w:val="32"/>
              </w:rPr>
              <w:t>(20分)</w:t>
            </w:r>
          </w:p>
        </w:tc>
        <w:tc>
          <w:tcPr>
            <w:tcW w:w="7571" w:type="dxa"/>
            <w:vAlign w:val="center"/>
          </w:tcPr>
          <w:p w14:paraId="3894847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2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"/>
                <w:sz w:val="32"/>
                <w:szCs w:val="32"/>
              </w:rPr>
              <w:t>基于人物事迹，从小点切入，以小见大；剧情编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排合理，情节跌宕起伏，矛盾冲突明显；幕与幕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"/>
                <w:sz w:val="32"/>
                <w:szCs w:val="32"/>
              </w:rPr>
              <w:t>之间转换适当。根据剧情设计酌情赋分。</w:t>
            </w:r>
          </w:p>
        </w:tc>
      </w:tr>
      <w:tr w14:paraId="5EDFF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  <w:jc w:val="center"/>
        </w:trPr>
        <w:tc>
          <w:tcPr>
            <w:tcW w:w="2036" w:type="dxa"/>
            <w:vAlign w:val="center"/>
          </w:tcPr>
          <w:p w14:paraId="555E709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32"/>
                <w:szCs w:val="32"/>
              </w:rPr>
              <w:t>舞台表演</w:t>
            </w:r>
          </w:p>
          <w:p w14:paraId="4D3C777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4"/>
                <w:sz w:val="32"/>
                <w:szCs w:val="32"/>
              </w:rPr>
              <w:t>(20分)</w:t>
            </w:r>
          </w:p>
        </w:tc>
        <w:tc>
          <w:tcPr>
            <w:tcW w:w="7571" w:type="dxa"/>
            <w:vAlign w:val="center"/>
          </w:tcPr>
          <w:p w14:paraId="637C08B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9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突出艺术设计与表现力，主题表现清晰，人物性格表现充分，动作得体到位，情感细腻有共鸣，团体合作默契。根据表演酌情赋分。</w:t>
            </w:r>
          </w:p>
        </w:tc>
      </w:tr>
      <w:tr w14:paraId="69F7A6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8" w:hRule="atLeast"/>
          <w:jc w:val="center"/>
        </w:trPr>
        <w:tc>
          <w:tcPr>
            <w:tcW w:w="2036" w:type="dxa"/>
            <w:vAlign w:val="center"/>
          </w:tcPr>
          <w:p w14:paraId="2EB0335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3"/>
                <w:sz w:val="32"/>
                <w:szCs w:val="32"/>
              </w:rPr>
              <w:t>舞台呈现</w:t>
            </w:r>
          </w:p>
          <w:p w14:paraId="349A901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4"/>
                <w:sz w:val="32"/>
                <w:szCs w:val="32"/>
              </w:rPr>
              <w:t>(20分)</w:t>
            </w:r>
          </w:p>
        </w:tc>
        <w:tc>
          <w:tcPr>
            <w:tcW w:w="7571" w:type="dxa"/>
            <w:vAlign w:val="center"/>
          </w:tcPr>
          <w:p w14:paraId="095F6F0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服装符合人物身份特点、合体大方，饰物搭配得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"/>
                <w:sz w:val="32"/>
                <w:szCs w:val="32"/>
              </w:rPr>
              <w:t>当，辅助表现人物性格、剧情效果等；场景布置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及道具安排准确反映剧目表达内容及环境。根据视觉效果酌情赋分。</w:t>
            </w:r>
          </w:p>
        </w:tc>
      </w:tr>
      <w:tr w14:paraId="4F2889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  <w:jc w:val="center"/>
        </w:trPr>
        <w:tc>
          <w:tcPr>
            <w:tcW w:w="2036" w:type="dxa"/>
            <w:vAlign w:val="center"/>
          </w:tcPr>
          <w:p w14:paraId="7F0F92D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6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6"/>
                <w:sz w:val="32"/>
                <w:szCs w:val="32"/>
              </w:rPr>
              <w:t>视频录制</w:t>
            </w:r>
          </w:p>
          <w:p w14:paraId="00B5FCA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4"/>
                <w:sz w:val="32"/>
                <w:szCs w:val="32"/>
              </w:rPr>
              <w:t>(10分)</w:t>
            </w:r>
          </w:p>
        </w:tc>
        <w:tc>
          <w:tcPr>
            <w:tcW w:w="7571" w:type="dxa"/>
            <w:vAlign w:val="center"/>
          </w:tcPr>
          <w:p w14:paraId="187D7E0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通过切换台进行多机位录制，有不同景别的搭配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4"/>
                <w:sz w:val="32"/>
                <w:szCs w:val="32"/>
              </w:rPr>
              <w:t>(远景、全景、中景、近景、特写);配戴无线话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4"/>
                <w:sz w:val="32"/>
                <w:szCs w:val="32"/>
              </w:rPr>
              <w:t>筒对演员进行收音，且声音清晰；背景音乐符合剧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"/>
                <w:sz w:val="32"/>
                <w:szCs w:val="32"/>
              </w:rPr>
              <w:t>情及气氛需要。根据视频呈现酌情赋分。</w:t>
            </w:r>
          </w:p>
        </w:tc>
      </w:tr>
    </w:tbl>
    <w:p w14:paraId="1BD8B21F">
      <w:bookmarkStart w:id="0" w:name="_GoBack"/>
      <w:bookmarkEnd w:id="0"/>
    </w:p>
    <w:sectPr>
      <w:footerReference r:id="rId5" w:type="default"/>
      <w:pgSz w:w="11906" w:h="16838"/>
      <w:pgMar w:top="2098" w:right="1474" w:bottom="172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3550361-5CED-48D9-BA81-650461E365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0655D39-2277-49CA-9F1F-FDD57F1F672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DC35EC41-908C-4971-A743-2E7B5B556A5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C854574-578B-452A-AD06-9E0F6D96520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0997A5">
    <w:pPr>
      <w:spacing w:line="178" w:lineRule="auto"/>
      <w:ind w:left="4584"/>
      <w:rPr>
        <w:rFonts w:ascii="Times New Roman" w:hAnsi="Times New Roman" w:eastAsia="Times New Roman" w:cs="Times New Roman"/>
        <w:sz w:val="22"/>
        <w:szCs w:val="22"/>
      </w:rPr>
    </w:pPr>
    <w:r>
      <w:rPr>
        <w:sz w:val="2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F3B6EB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F3B6EB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A52C78">
    <w:pPr>
      <w:spacing w:line="177" w:lineRule="auto"/>
      <w:ind w:left="4574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E32E84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E32E84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C7714">
    <w:pPr>
      <w:spacing w:line="178" w:lineRule="auto"/>
      <w:ind w:left="7094"/>
      <w:rPr>
        <w:rFonts w:ascii="Times New Roman" w:hAnsi="Times New Roman" w:eastAsia="Times New Roman" w:cs="Times New Roman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691EF1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691EF1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AB5BE1"/>
    <w:rsid w:val="24CF2991"/>
    <w:rsid w:val="27F82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152</Words>
  <Characters>157</Characters>
  <Lines>0</Lines>
  <Paragraphs>0</Paragraphs>
  <TotalTime>2</TotalTime>
  <ScaleCrop>false</ScaleCrop>
  <LinksUpToDate>false</LinksUpToDate>
  <CharactersWithSpaces>184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2026-03-19T01:04:00Z</dcterms:created>
  <dc:creator>iphonexs</dc:creator>
  <cp:lastModifiedBy>cfy</cp:lastModifiedBy>
  <dcterms:modified xsi:type="dcterms:W3CDTF">2026-03-19T01:12:33Z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eyJoZGlkIjoiZDJhMmQ4NTE5ZWE2ODExYTlkNjdjNzE2ZWNmOWZmNjkiLCJ1c2VySWQiOiI1Njg0NTQwMzEifQ==</vt:lpwstr>
  </property>
  <property fmtid="{D5CDD505-2E9C-101B-9397-08002B2CF9AE}" pid="4" name="ICV">
    <vt:lpwstr>552F6DEC398B43D3B1C5A7E57220FFED_12</vt:lpwstr>
  </property>
</Properties>
</file>